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eastAsia="Calibri"/>
          <w:highlight w:val="none"/>
        </w:rPr>
      </w:pPr>
      <w:r>
        <w:rPr>
          <w:rFonts w:eastAsia="Calibri"/>
          <w:bCs/>
          <w:szCs w:val="28"/>
        </w:rPr>
        <w:t>1</w:t>
      </w:r>
      <w:r>
        <w:rPr>
          <w:rFonts w:eastAsia="Calibri"/>
          <w:bCs/>
          <w:szCs w:val="28"/>
        </w:rPr>
        <w:t>8.1</w:t>
      </w:r>
      <w:r>
        <w:rPr>
          <w:rFonts w:eastAsia="Calibri"/>
          <w:bCs/>
          <w:szCs w:val="28"/>
        </w:rPr>
        <w:t>2</w:t>
      </w:r>
      <w:r>
        <w:rPr>
          <w:rFonts w:eastAsia="Calibri"/>
          <w:bCs/>
          <w:szCs w:val="28"/>
        </w:rPr>
        <w:t>.2024</w:t>
      </w:r>
    </w:p>
    <w:p>
      <w:pPr>
        <w:pStyle w:val="Standard"/>
        <w:jc w:val="right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Cs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</w:rPr>
        <w:t>Для размещения в социальных сетях и на сайте Управления</w:t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Предостережение – это не предписание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октябре-ноябре 2024 года Управление Росреестра по Алтайскому краю отмечает значительный рост количества поступающих возражений на объявленные предостережения о недопустимости нарушения обязательных требований. Анализ поступивших возражений показывает, что правообладатели земельных участков реагируют на объявление предостережения как на выдачу обязательного к исполнению в установленный срок предписания. Но это разные документы, имеющие принципиально разные правовые последствия для землепользователей.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Напомним основное различие эти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х документов: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0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ыдача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предписания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предусмотрена п. 1 ч. 2 ст. 90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Федерального закона от 31.07.2020 № 248-ФЗ «О государственном контроле (надзоре) и муниципальном контроле в Российской Федерации». 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highlight w:val="whit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0"/>
          <w:highlight w:val="white"/>
        </w:rPr>
        <w:t>едписание об устранении выявленных нарушений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выдается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>в случае выявления нарушений обязательных требований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>при проведении контрольного (надзорного) мероприятия во взаимодействии с контролируемым лицом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Предписание является обязательным к исполнению. </w:t>
      </w:r>
      <w:r>
        <w:rPr>
          <w:rFonts w:eastAsia="Times New Roman" w:cs="Times New Roman" w:ascii="Times New Roman" w:hAnsi="Times New Roman"/>
          <w:color w:val="000000"/>
          <w:sz w:val="30"/>
        </w:rPr>
        <w:t>За н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>евыполнение в установленный срок предписаний федеральных органов, осуществляющих государственный земельный надзор</w:t>
      </w:r>
      <w:r>
        <w:rPr>
          <w:rFonts w:eastAsia="Times New Roman" w:cs="Times New Roman" w:ascii="Times New Roman" w:hAnsi="Times New Roman"/>
          <w:sz w:val="28"/>
          <w:szCs w:val="28"/>
        </w:rPr>
        <w:t>, административная ответственность  установлена ч. 25 ст. 19.5 Кодекса Российской Федерации об административных правонарушениях. Органы государственного земельного надзора осуществляют контроль исполнения выданных предписаний.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Объявление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предостережения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предусмотрено ч. 1 ст. 49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highlight w:val="white"/>
        </w:rPr>
        <w:t>Федерального закона  № 248-ФЗ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30"/>
        </w:rPr>
        <w:t>в</w:t>
      </w:r>
      <w:r>
        <w:rPr>
          <w:rFonts w:eastAsia="Times New Roman" w:cs="Times New Roman" w:ascii="Times New Roman" w:hAnsi="Times New Roman"/>
          <w:color w:val="000000"/>
          <w:sz w:val="30"/>
          <w:highlight w:val="white"/>
        </w:rPr>
        <w:t xml:space="preserve"> случаях наличия у контрольного органа сведений о готовящихся (возможных) нарушениях обязательных требований или признаках нарушений</w:t>
      </w:r>
      <w:r>
        <w:rPr>
          <w:rFonts w:eastAsia="Times New Roman" w:cs="Times New Roman" w:ascii="Times New Roman" w:hAnsi="Times New Roman"/>
          <w:sz w:val="28"/>
          <w:szCs w:val="28"/>
        </w:rPr>
        <w:t>. Объявлением предостережения Управление не констатирует факт наличия нарушения, а лишь разъясняет требования земельного законодательства и уведомляет об их обязательном соблюдении при использовании земельных участков. Срок, указываемый в предостережении, является рекомендованным. Предостережение не содержит требований, обязательных к исполнению. Само по себе объявление предостережения не влечет негативных правовых последствий для землепользователей, его основная задача – предостеречь собственника земли от совершения правонарушения. Контроль исполнения рекомендаций, данных в предостережении, не осуществляется, их соблюдение находится в зоне ответственности правообладателя.</w:t>
      </w:r>
    </w:p>
    <w:p>
      <w:pPr>
        <w:pStyle w:val="Standard"/>
        <w:spacing w:lineRule="auto" w:line="276" w:before="0" w:after="200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/>
        <w:drawing>
          <wp:inline distT="0" distB="0" distL="0" distR="0">
            <wp:extent cx="4772660" cy="477266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lineRule="auto" w:line="276" w:before="0" w:after="200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>Управлени</w:t>
      </w:r>
      <w:r>
        <w:rPr>
          <w:rFonts w:eastAsia="Calibri"/>
          <w:b/>
          <w:sz w:val="22"/>
          <w:szCs w:val="22"/>
          <w:lang w:eastAsia="sk-SK"/>
        </w:rPr>
        <w:t>е</w:t>
      </w:r>
      <w:r>
        <w:rPr>
          <w:rFonts w:eastAsia="Calibri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both"/>
        <w:rPr>
          <w:rFonts w:eastAsia="Calibri"/>
          <w:color w:val="0000FF"/>
          <w:sz w:val="20"/>
          <w:szCs w:val="22"/>
          <w:u w:val="single"/>
          <w:shd w:fill="FFFFFF" w:val="clear"/>
          <w:lang w:eastAsia="en-US"/>
        </w:rPr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2</Pages>
  <Words>267</Words>
  <Characters>2112</Characters>
  <CharactersWithSpaces>2444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2024-12-16T08:41:25Z</dcterms:modified>
  <cp:revision>4</cp:revision>
  <dc:subject/>
  <dc:title/>
</cp:coreProperties>
</file>